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bookmarkStart w:id="0" w:name="_GoBack"/>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EF634D"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1</w:t>
      </w:r>
      <w:r w:rsidR="009D6E3D">
        <w:rPr>
          <w:rFonts w:ascii="Times New Roman" w:eastAsia="Times New Roman" w:hAnsi="Times New Roman" w:cs="Times New Roman"/>
          <w:b/>
          <w:color w:val="000000"/>
          <w:sz w:val="24"/>
          <w:szCs w:val="24"/>
          <w:lang w:eastAsia="zh-CN"/>
        </w:rPr>
        <w:t>2</w:t>
      </w:r>
      <w:r w:rsidR="008258D1">
        <w:rPr>
          <w:rFonts w:ascii="Times New Roman" w:eastAsia="Times New Roman" w:hAnsi="Times New Roman" w:cs="Times New Roman"/>
          <w:b/>
          <w:color w:val="000000"/>
          <w:sz w:val="24"/>
          <w:szCs w:val="24"/>
          <w:lang w:eastAsia="zh-CN"/>
        </w:rPr>
        <w:t xml:space="preserve"> от 22</w:t>
      </w:r>
      <w:r w:rsidR="00CD4610">
        <w:rPr>
          <w:rFonts w:ascii="Times New Roman" w:eastAsia="Times New Roman" w:hAnsi="Times New Roman" w:cs="Times New Roman"/>
          <w:b/>
          <w:color w:val="000000"/>
          <w:sz w:val="24"/>
          <w:szCs w:val="24"/>
          <w:lang w:eastAsia="zh-CN"/>
        </w:rPr>
        <w:t>.04</w:t>
      </w:r>
      <w:r w:rsidR="00FA62E1">
        <w:rPr>
          <w:rFonts w:ascii="Times New Roman" w:eastAsia="Times New Roman" w:hAnsi="Times New Roman" w:cs="Times New Roman"/>
          <w:b/>
          <w:color w:val="000000"/>
          <w:sz w:val="24"/>
          <w:szCs w:val="24"/>
          <w:lang w:eastAsia="zh-CN"/>
        </w:rPr>
        <w:t>.2019</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bookmarkEnd w:id="0"/>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9634" w:type="dxa"/>
        <w:tblLook w:val="04A0" w:firstRow="1" w:lastRow="0" w:firstColumn="1" w:lastColumn="0" w:noHBand="0" w:noVBand="1"/>
      </w:tblPr>
      <w:tblGrid>
        <w:gridCol w:w="557"/>
        <w:gridCol w:w="2551"/>
        <w:gridCol w:w="1355"/>
        <w:gridCol w:w="1738"/>
        <w:gridCol w:w="3433"/>
      </w:tblGrid>
      <w:tr w:rsidR="00D13AAE" w:rsidRPr="00D13AAE" w:rsidTr="00671C03">
        <w:trPr>
          <w:trHeight w:val="906"/>
        </w:trPr>
        <w:tc>
          <w:tcPr>
            <w:tcW w:w="55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 xml:space="preserve">№ </w:t>
            </w:r>
          </w:p>
        </w:tc>
        <w:tc>
          <w:tcPr>
            <w:tcW w:w="2551"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Адрес объекта</w:t>
            </w:r>
          </w:p>
        </w:tc>
        <w:tc>
          <w:tcPr>
            <w:tcW w:w="1355"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 xml:space="preserve">Площадь объекта </w:t>
            </w:r>
            <w:proofErr w:type="spellStart"/>
            <w:r w:rsidRPr="00D13AAE">
              <w:rPr>
                <w:rFonts w:ascii="Times New Roman" w:eastAsia="Times New Roman" w:hAnsi="Times New Roman" w:cs="Times New Roman"/>
                <w:b/>
                <w:bCs/>
                <w:color w:val="000000"/>
                <w:sz w:val="27"/>
                <w:szCs w:val="27"/>
                <w:lang w:eastAsia="ru-RU"/>
              </w:rPr>
              <w:t>кв.м</w:t>
            </w:r>
            <w:proofErr w:type="spellEnd"/>
          </w:p>
        </w:tc>
        <w:tc>
          <w:tcPr>
            <w:tcW w:w="1738"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Тип объекта</w:t>
            </w:r>
          </w:p>
        </w:tc>
        <w:tc>
          <w:tcPr>
            <w:tcW w:w="3433"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Специализация</w:t>
            </w:r>
          </w:p>
        </w:tc>
      </w:tr>
      <w:tr w:rsidR="00BF1DD3" w:rsidRPr="00D13AAE" w:rsidTr="00610B3C">
        <w:trPr>
          <w:trHeight w:val="821"/>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BF1DD3" w:rsidRPr="00610B3C" w:rsidRDefault="00BF1DD3" w:rsidP="00BF1DD3">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rPr>
                <w:rFonts w:ascii="Times New Roman" w:hAnsi="Times New Roman" w:cs="Times New Roman"/>
                <w:color w:val="000000"/>
              </w:rPr>
            </w:pPr>
            <w:r w:rsidRPr="00610B3C">
              <w:rPr>
                <w:rFonts w:ascii="Times New Roman" w:hAnsi="Times New Roman" w:cs="Times New Roman"/>
                <w:color w:val="000000"/>
              </w:rPr>
              <w:t>ул. Маркова, 3</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10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Киоск</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Реализация продовольственных товаров смешанного ассортимента</w:t>
            </w:r>
          </w:p>
        </w:tc>
      </w:tr>
      <w:tr w:rsidR="00BF1DD3" w:rsidRPr="00D13AAE" w:rsidTr="00610B3C">
        <w:trPr>
          <w:trHeight w:val="679"/>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BF1DD3" w:rsidRPr="00610B3C" w:rsidRDefault="00BF1DD3" w:rsidP="00BF1DD3">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rPr>
                <w:rFonts w:ascii="Times New Roman" w:hAnsi="Times New Roman" w:cs="Times New Roman"/>
                <w:color w:val="000000"/>
              </w:rPr>
            </w:pPr>
            <w:proofErr w:type="spellStart"/>
            <w:r w:rsidRPr="00610B3C">
              <w:rPr>
                <w:rFonts w:ascii="Times New Roman" w:hAnsi="Times New Roman" w:cs="Times New Roman"/>
                <w:color w:val="000000"/>
              </w:rPr>
              <w:t>Карцинское</w:t>
            </w:r>
            <w:proofErr w:type="spellEnd"/>
            <w:r w:rsidRPr="00610B3C">
              <w:rPr>
                <w:rFonts w:ascii="Times New Roman" w:hAnsi="Times New Roman" w:cs="Times New Roman"/>
                <w:color w:val="000000"/>
              </w:rPr>
              <w:t xml:space="preserve"> шоссе, 78</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25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Павильон</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Реализация продовольственных товаров (готовая кухня)</w:t>
            </w:r>
          </w:p>
        </w:tc>
      </w:tr>
      <w:tr w:rsidR="00BF1DD3" w:rsidRPr="00D13AAE" w:rsidTr="00610B3C">
        <w:trPr>
          <w:trHeight w:val="6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BF1DD3" w:rsidRPr="00610B3C" w:rsidRDefault="00BF1DD3" w:rsidP="00BF1DD3">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rPr>
                <w:rFonts w:ascii="Times New Roman" w:hAnsi="Times New Roman" w:cs="Times New Roman"/>
                <w:color w:val="000000"/>
              </w:rPr>
            </w:pPr>
            <w:r w:rsidRPr="00610B3C">
              <w:rPr>
                <w:rFonts w:ascii="Times New Roman" w:hAnsi="Times New Roman" w:cs="Times New Roman"/>
                <w:color w:val="000000"/>
              </w:rPr>
              <w:t xml:space="preserve">ул. Владикавказская, 26 / ул. Астана </w:t>
            </w:r>
            <w:proofErr w:type="spellStart"/>
            <w:r w:rsidRPr="00610B3C">
              <w:rPr>
                <w:rFonts w:ascii="Times New Roman" w:hAnsi="Times New Roman" w:cs="Times New Roman"/>
                <w:color w:val="000000"/>
              </w:rPr>
              <w:t>Кесаева</w:t>
            </w:r>
            <w:proofErr w:type="spellEnd"/>
            <w:r w:rsidRPr="00610B3C">
              <w:rPr>
                <w:rFonts w:ascii="Times New Roman" w:hAnsi="Times New Roman" w:cs="Times New Roman"/>
                <w:color w:val="000000"/>
              </w:rPr>
              <w:t>, 12</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proofErr w:type="spellStart"/>
            <w:r w:rsidRPr="00610B3C">
              <w:rPr>
                <w:rFonts w:ascii="Times New Roman" w:hAnsi="Times New Roman" w:cs="Times New Roman"/>
                <w:color w:val="000000"/>
              </w:rPr>
              <w:t>Автокофейня</w:t>
            </w:r>
            <w:proofErr w:type="spellEnd"/>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Реализация кофе</w:t>
            </w:r>
          </w:p>
        </w:tc>
      </w:tr>
      <w:tr w:rsidR="00BF1DD3" w:rsidRPr="00D13AAE" w:rsidTr="00BA5976">
        <w:trPr>
          <w:trHeight w:val="52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BF1DD3" w:rsidRPr="00610B3C" w:rsidRDefault="00BF1DD3" w:rsidP="00BF1DD3">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rPr>
                <w:rFonts w:ascii="Times New Roman" w:hAnsi="Times New Roman" w:cs="Times New Roman"/>
                <w:color w:val="000000"/>
              </w:rPr>
            </w:pPr>
            <w:r w:rsidRPr="00610B3C">
              <w:rPr>
                <w:rFonts w:ascii="Times New Roman" w:hAnsi="Times New Roman" w:cs="Times New Roman"/>
                <w:color w:val="000000"/>
              </w:rPr>
              <w:t xml:space="preserve">пр. </w:t>
            </w:r>
            <w:proofErr w:type="spellStart"/>
            <w:r w:rsidRPr="00610B3C">
              <w:rPr>
                <w:rFonts w:ascii="Times New Roman" w:hAnsi="Times New Roman" w:cs="Times New Roman"/>
                <w:color w:val="000000"/>
              </w:rPr>
              <w:t>Коста</w:t>
            </w:r>
            <w:proofErr w:type="spellEnd"/>
            <w:r w:rsidRPr="00610B3C">
              <w:rPr>
                <w:rFonts w:ascii="Times New Roman" w:hAnsi="Times New Roman" w:cs="Times New Roman"/>
                <w:color w:val="000000"/>
              </w:rPr>
              <w:t>, 296/2</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12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Киоск</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Реализация бахчевых культур.</w:t>
            </w:r>
          </w:p>
        </w:tc>
      </w:tr>
      <w:tr w:rsidR="00BF1DD3" w:rsidRPr="00D13AAE" w:rsidTr="00610B3C">
        <w:trPr>
          <w:trHeight w:val="551"/>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BF1DD3" w:rsidRPr="00610B3C" w:rsidRDefault="00BF1DD3" w:rsidP="00BF1DD3">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rPr>
                <w:rFonts w:ascii="Times New Roman" w:hAnsi="Times New Roman" w:cs="Times New Roman"/>
                <w:color w:val="000000"/>
              </w:rPr>
            </w:pPr>
            <w:proofErr w:type="spellStart"/>
            <w:r w:rsidRPr="00610B3C">
              <w:rPr>
                <w:rFonts w:ascii="Times New Roman" w:hAnsi="Times New Roman" w:cs="Times New Roman"/>
                <w:color w:val="000000"/>
              </w:rPr>
              <w:t>Архонское</w:t>
            </w:r>
            <w:proofErr w:type="spellEnd"/>
            <w:r w:rsidRPr="00610B3C">
              <w:rPr>
                <w:rFonts w:ascii="Times New Roman" w:hAnsi="Times New Roman" w:cs="Times New Roman"/>
                <w:color w:val="000000"/>
              </w:rPr>
              <w:t xml:space="preserve"> шоссе, (р-он полка ДПС)</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50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Павильон</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Оказание прочих услуг</w:t>
            </w:r>
          </w:p>
        </w:tc>
      </w:tr>
      <w:tr w:rsidR="00BF1DD3" w:rsidRPr="00D13AAE" w:rsidTr="00610B3C">
        <w:trPr>
          <w:trHeight w:val="831"/>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BF1DD3" w:rsidRPr="00610B3C" w:rsidRDefault="00BF1DD3" w:rsidP="00BF1DD3">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rPr>
                <w:rFonts w:ascii="Times New Roman" w:hAnsi="Times New Roman" w:cs="Times New Roman"/>
                <w:color w:val="000000"/>
              </w:rPr>
            </w:pPr>
            <w:r w:rsidRPr="00610B3C">
              <w:rPr>
                <w:rFonts w:ascii="Times New Roman" w:hAnsi="Times New Roman" w:cs="Times New Roman"/>
                <w:color w:val="000000"/>
              </w:rPr>
              <w:t>ул. Леонова, 9/1</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16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Киоск</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Реализация продовольственных товаров смешанного ассортимента</w:t>
            </w:r>
          </w:p>
        </w:tc>
      </w:tr>
      <w:tr w:rsidR="00BF1DD3" w:rsidRPr="00D13AAE" w:rsidTr="00610B3C">
        <w:trPr>
          <w:trHeight w:val="40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BF1DD3" w:rsidRPr="00610B3C" w:rsidRDefault="00BA5976" w:rsidP="00BF1DD3">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BF1DD3" w:rsidP="00BF1DD3">
            <w:pPr>
              <w:rPr>
                <w:rFonts w:ascii="Times New Roman" w:hAnsi="Times New Roman" w:cs="Times New Roman"/>
                <w:color w:val="000000"/>
              </w:rPr>
            </w:pPr>
            <w:r w:rsidRPr="00610B3C">
              <w:rPr>
                <w:rFonts w:ascii="Times New Roman" w:hAnsi="Times New Roman" w:cs="Times New Roman"/>
                <w:color w:val="000000"/>
              </w:rPr>
              <w:t xml:space="preserve">ул. </w:t>
            </w:r>
            <w:proofErr w:type="spellStart"/>
            <w:r w:rsidRPr="00610B3C">
              <w:rPr>
                <w:rFonts w:ascii="Times New Roman" w:hAnsi="Times New Roman" w:cs="Times New Roman"/>
                <w:color w:val="000000"/>
              </w:rPr>
              <w:t>Цоколаева</w:t>
            </w:r>
            <w:proofErr w:type="spellEnd"/>
            <w:r w:rsidRPr="00610B3C">
              <w:rPr>
                <w:rFonts w:ascii="Times New Roman" w:hAnsi="Times New Roman" w:cs="Times New Roman"/>
                <w:color w:val="000000"/>
              </w:rPr>
              <w:t>, 2</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30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BF1DD3" w:rsidRPr="00610B3C" w:rsidRDefault="00BF1DD3" w:rsidP="00BF1DD3">
            <w:pPr>
              <w:jc w:val="center"/>
              <w:rPr>
                <w:rFonts w:ascii="Times New Roman" w:hAnsi="Times New Roman" w:cs="Times New Roman"/>
                <w:color w:val="000000"/>
              </w:rPr>
            </w:pPr>
            <w:r w:rsidRPr="00610B3C">
              <w:rPr>
                <w:rFonts w:ascii="Times New Roman" w:hAnsi="Times New Roman" w:cs="Times New Roman"/>
                <w:color w:val="000000"/>
              </w:rPr>
              <w:t>Павильон</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BF1DD3" w:rsidRPr="00610B3C" w:rsidRDefault="008258D1" w:rsidP="00BF1DD3">
            <w:pPr>
              <w:jc w:val="center"/>
              <w:rPr>
                <w:rFonts w:ascii="Times New Roman" w:hAnsi="Times New Roman" w:cs="Times New Roman"/>
                <w:color w:val="000000"/>
              </w:rPr>
            </w:pPr>
            <w:r w:rsidRPr="00610B3C">
              <w:rPr>
                <w:rFonts w:ascii="Times New Roman" w:hAnsi="Times New Roman" w:cs="Times New Roman"/>
                <w:color w:val="000000"/>
              </w:rPr>
              <w:t>Реализация хлебо</w:t>
            </w:r>
            <w:r w:rsidR="00BF1DD3" w:rsidRPr="00610B3C">
              <w:rPr>
                <w:rFonts w:ascii="Times New Roman" w:hAnsi="Times New Roman" w:cs="Times New Roman"/>
                <w:color w:val="000000"/>
              </w:rPr>
              <w:t>булочных изделий</w:t>
            </w:r>
          </w:p>
        </w:tc>
      </w:tr>
      <w:tr w:rsidR="008258D1" w:rsidRPr="00D13AAE" w:rsidTr="00610B3C">
        <w:trPr>
          <w:trHeight w:val="68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8258D1" w:rsidRPr="00610B3C" w:rsidRDefault="00BA5976" w:rsidP="008258D1">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8</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258D1" w:rsidRPr="00610B3C" w:rsidRDefault="008258D1" w:rsidP="008258D1">
            <w:pPr>
              <w:rPr>
                <w:rFonts w:ascii="Times New Roman" w:hAnsi="Times New Roman" w:cs="Times New Roman"/>
                <w:color w:val="000000"/>
              </w:rPr>
            </w:pPr>
            <w:r w:rsidRPr="00610B3C">
              <w:rPr>
                <w:rFonts w:ascii="Times New Roman" w:hAnsi="Times New Roman" w:cs="Times New Roman"/>
                <w:color w:val="000000"/>
              </w:rPr>
              <w:t>ул. Карла Маркса, 157</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8258D1" w:rsidRPr="00610B3C" w:rsidRDefault="008258D1" w:rsidP="008258D1">
            <w:pPr>
              <w:jc w:val="center"/>
              <w:rPr>
                <w:rFonts w:ascii="Times New Roman" w:hAnsi="Times New Roman" w:cs="Times New Roman"/>
                <w:color w:val="000000"/>
              </w:rPr>
            </w:pPr>
            <w:r w:rsidRPr="00610B3C">
              <w:rPr>
                <w:rFonts w:ascii="Times New Roman" w:hAnsi="Times New Roman" w:cs="Times New Roman"/>
                <w:color w:val="000000"/>
              </w:rPr>
              <w:t>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8258D1" w:rsidRPr="00610B3C" w:rsidRDefault="008258D1" w:rsidP="008258D1">
            <w:pPr>
              <w:jc w:val="center"/>
              <w:rPr>
                <w:rFonts w:ascii="Times New Roman" w:hAnsi="Times New Roman" w:cs="Times New Roman"/>
                <w:color w:val="000000"/>
              </w:rPr>
            </w:pPr>
            <w:r w:rsidRPr="00610B3C">
              <w:rPr>
                <w:rFonts w:ascii="Times New Roman" w:hAnsi="Times New Roman" w:cs="Times New Roman"/>
                <w:color w:val="000000"/>
              </w:rPr>
              <w:t>Киоск</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8258D1" w:rsidRPr="00610B3C" w:rsidRDefault="008258D1" w:rsidP="008258D1">
            <w:pPr>
              <w:jc w:val="center"/>
              <w:rPr>
                <w:rFonts w:ascii="Times New Roman" w:hAnsi="Times New Roman" w:cs="Times New Roman"/>
                <w:color w:val="000000"/>
              </w:rPr>
            </w:pPr>
            <w:r w:rsidRPr="00610B3C">
              <w:rPr>
                <w:rFonts w:ascii="Times New Roman" w:hAnsi="Times New Roman" w:cs="Times New Roman"/>
                <w:color w:val="000000"/>
              </w:rPr>
              <w:t>Реализация продовольственных товаров смешанного ассортимента</w:t>
            </w:r>
          </w:p>
        </w:tc>
      </w:tr>
      <w:tr w:rsidR="008258D1" w:rsidRPr="00D13AAE" w:rsidTr="00610B3C">
        <w:trPr>
          <w:trHeight w:val="557"/>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8258D1" w:rsidRPr="00610B3C" w:rsidRDefault="00BA5976" w:rsidP="008258D1">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9</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258D1" w:rsidRPr="00610B3C" w:rsidRDefault="008258D1" w:rsidP="008258D1">
            <w:pPr>
              <w:rPr>
                <w:rFonts w:ascii="Times New Roman" w:hAnsi="Times New Roman" w:cs="Times New Roman"/>
                <w:color w:val="000000"/>
              </w:rPr>
            </w:pPr>
            <w:r w:rsidRPr="00610B3C">
              <w:rPr>
                <w:rFonts w:ascii="Times New Roman" w:hAnsi="Times New Roman" w:cs="Times New Roman"/>
                <w:color w:val="000000"/>
              </w:rPr>
              <w:t xml:space="preserve">пр. </w:t>
            </w:r>
            <w:proofErr w:type="spellStart"/>
            <w:r w:rsidRPr="00610B3C">
              <w:rPr>
                <w:rFonts w:ascii="Times New Roman" w:hAnsi="Times New Roman" w:cs="Times New Roman"/>
                <w:color w:val="000000"/>
              </w:rPr>
              <w:t>Доватора</w:t>
            </w:r>
            <w:proofErr w:type="spellEnd"/>
            <w:r w:rsidRPr="00610B3C">
              <w:rPr>
                <w:rFonts w:ascii="Times New Roman" w:hAnsi="Times New Roman" w:cs="Times New Roman"/>
                <w:color w:val="000000"/>
              </w:rPr>
              <w:t>, 31 (двор дома)</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8258D1" w:rsidRPr="00610B3C" w:rsidRDefault="008258D1" w:rsidP="008258D1">
            <w:pPr>
              <w:jc w:val="center"/>
              <w:rPr>
                <w:rFonts w:ascii="Times New Roman" w:hAnsi="Times New Roman" w:cs="Times New Roman"/>
                <w:color w:val="000000"/>
              </w:rPr>
            </w:pPr>
            <w:r w:rsidRPr="00610B3C">
              <w:rPr>
                <w:rFonts w:ascii="Times New Roman" w:hAnsi="Times New Roman" w:cs="Times New Roman"/>
                <w:color w:val="000000"/>
              </w:rPr>
              <w:t>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8258D1" w:rsidRPr="00610B3C" w:rsidRDefault="008258D1" w:rsidP="008258D1">
            <w:pPr>
              <w:jc w:val="center"/>
              <w:rPr>
                <w:rFonts w:ascii="Times New Roman" w:hAnsi="Times New Roman" w:cs="Times New Roman"/>
                <w:color w:val="000000"/>
              </w:rPr>
            </w:pPr>
            <w:r w:rsidRPr="00610B3C">
              <w:rPr>
                <w:rFonts w:ascii="Times New Roman" w:hAnsi="Times New Roman" w:cs="Times New Roman"/>
                <w:color w:val="000000"/>
              </w:rPr>
              <w:t>Киоск</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8258D1" w:rsidRPr="00610B3C" w:rsidRDefault="008258D1" w:rsidP="008258D1">
            <w:pPr>
              <w:jc w:val="center"/>
              <w:rPr>
                <w:rFonts w:ascii="Times New Roman" w:hAnsi="Times New Roman" w:cs="Times New Roman"/>
                <w:color w:val="000000"/>
              </w:rPr>
            </w:pPr>
            <w:r w:rsidRPr="00610B3C">
              <w:rPr>
                <w:rFonts w:ascii="Times New Roman" w:hAnsi="Times New Roman" w:cs="Times New Roman"/>
                <w:color w:val="000000"/>
              </w:rPr>
              <w:t>Бытовые услуги населению</w:t>
            </w:r>
          </w:p>
        </w:tc>
      </w:tr>
      <w:tr w:rsidR="009D6E3D" w:rsidRPr="00D13AAE" w:rsidTr="00610B3C">
        <w:trPr>
          <w:trHeight w:val="540"/>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9D6E3D" w:rsidRPr="00610B3C" w:rsidRDefault="00BA5976" w:rsidP="009D6E3D">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10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D6E3D" w:rsidRPr="00610B3C" w:rsidRDefault="009D6E3D" w:rsidP="009D6E3D">
            <w:pPr>
              <w:rPr>
                <w:rFonts w:ascii="Times New Roman" w:hAnsi="Times New Roman" w:cs="Times New Roman"/>
                <w:color w:val="000000"/>
              </w:rPr>
            </w:pPr>
            <w:r w:rsidRPr="00610B3C">
              <w:rPr>
                <w:rFonts w:ascii="Times New Roman" w:hAnsi="Times New Roman" w:cs="Times New Roman"/>
                <w:color w:val="000000"/>
              </w:rPr>
              <w:t>ул. Куйбышева, 54</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9D6E3D" w:rsidRPr="00610B3C" w:rsidRDefault="009D6E3D" w:rsidP="009D6E3D">
            <w:pPr>
              <w:jc w:val="center"/>
              <w:rPr>
                <w:rFonts w:ascii="Times New Roman" w:hAnsi="Times New Roman" w:cs="Times New Roman"/>
                <w:color w:val="000000"/>
              </w:rPr>
            </w:pPr>
            <w:r w:rsidRPr="00610B3C">
              <w:rPr>
                <w:rFonts w:ascii="Times New Roman" w:hAnsi="Times New Roman" w:cs="Times New Roman"/>
                <w:color w:val="000000"/>
              </w:rPr>
              <w:t>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9D6E3D" w:rsidRPr="00610B3C" w:rsidRDefault="009D6E3D" w:rsidP="009D6E3D">
            <w:pPr>
              <w:jc w:val="center"/>
              <w:rPr>
                <w:rFonts w:ascii="Times New Roman" w:hAnsi="Times New Roman" w:cs="Times New Roman"/>
                <w:color w:val="000000"/>
              </w:rPr>
            </w:pPr>
            <w:r w:rsidRPr="00610B3C">
              <w:rPr>
                <w:rFonts w:ascii="Times New Roman" w:hAnsi="Times New Roman" w:cs="Times New Roman"/>
                <w:color w:val="000000"/>
              </w:rPr>
              <w:t>Киоск</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9D6E3D" w:rsidRPr="00610B3C" w:rsidRDefault="009D6E3D" w:rsidP="009D6E3D">
            <w:pPr>
              <w:jc w:val="center"/>
              <w:rPr>
                <w:rFonts w:ascii="Times New Roman" w:hAnsi="Times New Roman" w:cs="Times New Roman"/>
                <w:color w:val="000000"/>
              </w:rPr>
            </w:pPr>
            <w:r w:rsidRPr="00610B3C">
              <w:rPr>
                <w:rFonts w:ascii="Times New Roman" w:hAnsi="Times New Roman" w:cs="Times New Roman"/>
                <w:color w:val="000000"/>
              </w:rPr>
              <w:t>Реализация питьевой воды</w:t>
            </w:r>
          </w:p>
        </w:tc>
      </w:tr>
      <w:tr w:rsidR="00BA5976" w:rsidRPr="00D13AAE" w:rsidTr="00610B3C">
        <w:trPr>
          <w:trHeight w:val="548"/>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BA5976" w:rsidRPr="00610B3C" w:rsidRDefault="00BA5976" w:rsidP="00BA5976">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11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A5976" w:rsidRPr="00610B3C" w:rsidRDefault="00BA5976" w:rsidP="00BA5976">
            <w:pPr>
              <w:rPr>
                <w:rFonts w:ascii="Times New Roman" w:hAnsi="Times New Roman" w:cs="Times New Roman"/>
                <w:color w:val="000000"/>
              </w:rPr>
            </w:pPr>
            <w:proofErr w:type="spellStart"/>
            <w:r w:rsidRPr="00610B3C">
              <w:rPr>
                <w:rFonts w:ascii="Times New Roman" w:hAnsi="Times New Roman" w:cs="Times New Roman"/>
                <w:color w:val="000000"/>
              </w:rPr>
              <w:t>пр.Коста</w:t>
            </w:r>
            <w:proofErr w:type="spellEnd"/>
            <w:r w:rsidRPr="00610B3C">
              <w:rPr>
                <w:rFonts w:ascii="Times New Roman" w:hAnsi="Times New Roman" w:cs="Times New Roman"/>
                <w:color w:val="000000"/>
              </w:rPr>
              <w:t xml:space="preserve"> (р-он парка </w:t>
            </w:r>
            <w:proofErr w:type="spellStart"/>
            <w:r w:rsidRPr="00610B3C">
              <w:rPr>
                <w:rFonts w:ascii="Times New Roman" w:hAnsi="Times New Roman" w:cs="Times New Roman"/>
                <w:color w:val="000000"/>
              </w:rPr>
              <w:t>Нартон</w:t>
            </w:r>
            <w:proofErr w:type="spellEnd"/>
            <w:r w:rsidRPr="00610B3C">
              <w:rPr>
                <w:rFonts w:ascii="Times New Roman" w:hAnsi="Times New Roman" w:cs="Times New Roman"/>
                <w:color w:val="000000"/>
              </w:rPr>
              <w:t>)</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BA5976" w:rsidRPr="00610B3C" w:rsidRDefault="00BA5976" w:rsidP="00BA5976">
            <w:pPr>
              <w:jc w:val="center"/>
              <w:rPr>
                <w:rFonts w:ascii="Times New Roman" w:hAnsi="Times New Roman" w:cs="Times New Roman"/>
                <w:color w:val="000000"/>
              </w:rPr>
            </w:pPr>
            <w:r w:rsidRPr="00610B3C">
              <w:rPr>
                <w:rFonts w:ascii="Times New Roman" w:hAnsi="Times New Roman" w:cs="Times New Roman"/>
                <w:color w:val="000000"/>
              </w:rPr>
              <w:t>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BA5976" w:rsidRPr="00610B3C" w:rsidRDefault="00BA5976" w:rsidP="00BA5976">
            <w:pPr>
              <w:jc w:val="center"/>
              <w:rPr>
                <w:rFonts w:ascii="Times New Roman" w:hAnsi="Times New Roman" w:cs="Times New Roman"/>
                <w:color w:val="000000"/>
              </w:rPr>
            </w:pPr>
            <w:proofErr w:type="spellStart"/>
            <w:r w:rsidRPr="00610B3C">
              <w:rPr>
                <w:rFonts w:ascii="Times New Roman" w:hAnsi="Times New Roman" w:cs="Times New Roman"/>
                <w:color w:val="000000"/>
              </w:rPr>
              <w:t>Автокофейня</w:t>
            </w:r>
            <w:proofErr w:type="spellEnd"/>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BA5976" w:rsidRPr="00610B3C" w:rsidRDefault="00BA5976" w:rsidP="00BA5976">
            <w:pPr>
              <w:jc w:val="center"/>
              <w:rPr>
                <w:rFonts w:ascii="Times New Roman" w:hAnsi="Times New Roman" w:cs="Times New Roman"/>
                <w:color w:val="000000"/>
              </w:rPr>
            </w:pPr>
            <w:r w:rsidRPr="00610B3C">
              <w:rPr>
                <w:rFonts w:ascii="Times New Roman" w:hAnsi="Times New Roman" w:cs="Times New Roman"/>
                <w:color w:val="000000"/>
              </w:rPr>
              <w:t>Реализация кофе</w:t>
            </w:r>
          </w:p>
        </w:tc>
      </w:tr>
      <w:tr w:rsidR="00BA5976" w:rsidRPr="00D13AAE" w:rsidTr="00610B3C">
        <w:trPr>
          <w:trHeight w:val="55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BA5976" w:rsidRPr="00610B3C" w:rsidRDefault="00BA5976" w:rsidP="00BA5976">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12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A5976" w:rsidRPr="00610B3C" w:rsidRDefault="00BA5976" w:rsidP="00BA5976">
            <w:pPr>
              <w:rPr>
                <w:rFonts w:ascii="Times New Roman" w:hAnsi="Times New Roman" w:cs="Times New Roman"/>
                <w:color w:val="000000"/>
              </w:rPr>
            </w:pPr>
            <w:r w:rsidRPr="00610B3C">
              <w:rPr>
                <w:rFonts w:ascii="Times New Roman" w:hAnsi="Times New Roman" w:cs="Times New Roman"/>
                <w:color w:val="000000"/>
              </w:rPr>
              <w:t>ул. Фрунзе, 2</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BA5976" w:rsidRPr="00610B3C" w:rsidRDefault="00BA5976" w:rsidP="00BA5976">
            <w:pPr>
              <w:jc w:val="center"/>
              <w:rPr>
                <w:rFonts w:ascii="Times New Roman" w:hAnsi="Times New Roman" w:cs="Times New Roman"/>
                <w:color w:val="000000"/>
              </w:rPr>
            </w:pPr>
            <w:r w:rsidRPr="00610B3C">
              <w:rPr>
                <w:rFonts w:ascii="Times New Roman" w:hAnsi="Times New Roman" w:cs="Times New Roman"/>
                <w:color w:val="000000"/>
              </w:rPr>
              <w:t>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BA5976" w:rsidRPr="00610B3C" w:rsidRDefault="00BA5976" w:rsidP="00BA5976">
            <w:pPr>
              <w:jc w:val="center"/>
              <w:rPr>
                <w:rFonts w:ascii="Times New Roman" w:hAnsi="Times New Roman" w:cs="Times New Roman"/>
                <w:color w:val="000000"/>
              </w:rPr>
            </w:pPr>
            <w:r w:rsidRPr="00610B3C">
              <w:rPr>
                <w:rFonts w:ascii="Times New Roman" w:hAnsi="Times New Roman" w:cs="Times New Roman"/>
                <w:color w:val="000000"/>
              </w:rPr>
              <w:t>Палатка</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BA5976" w:rsidRPr="00610B3C" w:rsidRDefault="00BA5976" w:rsidP="00BA5976">
            <w:pPr>
              <w:jc w:val="center"/>
              <w:rPr>
                <w:rFonts w:ascii="Times New Roman" w:hAnsi="Times New Roman" w:cs="Times New Roman"/>
                <w:color w:val="000000"/>
              </w:rPr>
            </w:pPr>
            <w:r w:rsidRPr="00610B3C">
              <w:rPr>
                <w:rFonts w:ascii="Times New Roman" w:hAnsi="Times New Roman" w:cs="Times New Roman"/>
                <w:color w:val="000000"/>
              </w:rPr>
              <w:t>Реализация печатной продукции</w:t>
            </w:r>
          </w:p>
        </w:tc>
      </w:tr>
      <w:tr w:rsidR="00671C03" w:rsidRPr="00D13AAE" w:rsidTr="00610B3C">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671C03" w:rsidRPr="00610B3C" w:rsidRDefault="00671C03" w:rsidP="00671C03">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13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71C03" w:rsidRPr="00610B3C" w:rsidRDefault="00671C03" w:rsidP="00671C03">
            <w:pPr>
              <w:rPr>
                <w:rFonts w:ascii="Times New Roman" w:hAnsi="Times New Roman" w:cs="Times New Roman"/>
                <w:color w:val="000000"/>
              </w:rPr>
            </w:pPr>
            <w:r w:rsidRPr="00610B3C">
              <w:rPr>
                <w:rFonts w:ascii="Times New Roman" w:hAnsi="Times New Roman" w:cs="Times New Roman"/>
                <w:color w:val="000000"/>
              </w:rPr>
              <w:t xml:space="preserve">ул. </w:t>
            </w:r>
            <w:proofErr w:type="spellStart"/>
            <w:r w:rsidRPr="00610B3C">
              <w:rPr>
                <w:rFonts w:ascii="Times New Roman" w:hAnsi="Times New Roman" w:cs="Times New Roman"/>
                <w:color w:val="000000"/>
              </w:rPr>
              <w:t>Тамаева</w:t>
            </w:r>
            <w:proofErr w:type="spellEnd"/>
            <w:r w:rsidRPr="00610B3C">
              <w:rPr>
                <w:rFonts w:ascii="Times New Roman" w:hAnsi="Times New Roman" w:cs="Times New Roman"/>
                <w:color w:val="000000"/>
              </w:rPr>
              <w:t>/ ул. Куйбышева</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671C03" w:rsidRPr="00610B3C" w:rsidRDefault="00671C03" w:rsidP="00671C03">
            <w:pPr>
              <w:jc w:val="center"/>
              <w:rPr>
                <w:rFonts w:ascii="Times New Roman" w:hAnsi="Times New Roman" w:cs="Times New Roman"/>
                <w:color w:val="000000"/>
              </w:rPr>
            </w:pPr>
            <w:r w:rsidRPr="00610B3C">
              <w:rPr>
                <w:rFonts w:ascii="Times New Roman" w:hAnsi="Times New Roman" w:cs="Times New Roman"/>
                <w:color w:val="000000"/>
              </w:rPr>
              <w:t>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671C03" w:rsidRPr="00610B3C" w:rsidRDefault="00671C03" w:rsidP="00671C03">
            <w:pPr>
              <w:jc w:val="center"/>
              <w:rPr>
                <w:rFonts w:ascii="Times New Roman" w:hAnsi="Times New Roman" w:cs="Times New Roman"/>
                <w:color w:val="000000"/>
              </w:rPr>
            </w:pPr>
            <w:r w:rsidRPr="00610B3C">
              <w:rPr>
                <w:rFonts w:ascii="Times New Roman" w:hAnsi="Times New Roman" w:cs="Times New Roman"/>
                <w:color w:val="000000"/>
              </w:rPr>
              <w:t>Палатка</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671C03" w:rsidRPr="00610B3C" w:rsidRDefault="00671C03" w:rsidP="00671C03">
            <w:pPr>
              <w:jc w:val="center"/>
              <w:rPr>
                <w:rFonts w:ascii="Times New Roman" w:hAnsi="Times New Roman" w:cs="Times New Roman"/>
                <w:color w:val="000000"/>
              </w:rPr>
            </w:pPr>
            <w:r w:rsidRPr="00610B3C">
              <w:rPr>
                <w:rFonts w:ascii="Times New Roman" w:hAnsi="Times New Roman" w:cs="Times New Roman"/>
                <w:color w:val="000000"/>
              </w:rPr>
              <w:t>Реализация печатной продукции</w:t>
            </w:r>
          </w:p>
        </w:tc>
      </w:tr>
      <w:tr w:rsidR="00610B3C" w:rsidRPr="00D13AAE" w:rsidTr="00610B3C">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610B3C" w:rsidRPr="00610B3C" w:rsidRDefault="00610B3C" w:rsidP="00610B3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10B3C" w:rsidRPr="00610B3C" w:rsidRDefault="00610B3C" w:rsidP="00610B3C">
            <w:pPr>
              <w:rPr>
                <w:rFonts w:ascii="Times New Roman" w:hAnsi="Times New Roman" w:cs="Times New Roman"/>
                <w:color w:val="000000"/>
              </w:rPr>
            </w:pPr>
            <w:r w:rsidRPr="00610B3C">
              <w:rPr>
                <w:rFonts w:ascii="Times New Roman" w:hAnsi="Times New Roman" w:cs="Times New Roman"/>
                <w:color w:val="000000"/>
              </w:rPr>
              <w:t>ул. Морских пехотинцев, (р-он «Лава»)</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610B3C" w:rsidRPr="00610B3C" w:rsidRDefault="00610B3C" w:rsidP="00610B3C">
            <w:pPr>
              <w:jc w:val="center"/>
              <w:rPr>
                <w:rFonts w:ascii="Times New Roman" w:hAnsi="Times New Roman" w:cs="Times New Roman"/>
                <w:color w:val="000000"/>
              </w:rPr>
            </w:pPr>
            <w:r w:rsidRPr="00610B3C">
              <w:rPr>
                <w:rFonts w:ascii="Times New Roman" w:hAnsi="Times New Roman" w:cs="Times New Roman"/>
                <w:color w:val="000000"/>
              </w:rPr>
              <w:t>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610B3C" w:rsidRPr="00610B3C" w:rsidRDefault="00610B3C" w:rsidP="00610B3C">
            <w:pPr>
              <w:jc w:val="center"/>
              <w:rPr>
                <w:rFonts w:ascii="Times New Roman" w:hAnsi="Times New Roman" w:cs="Times New Roman"/>
                <w:color w:val="000000"/>
              </w:rPr>
            </w:pPr>
            <w:proofErr w:type="spellStart"/>
            <w:r w:rsidRPr="00610B3C">
              <w:rPr>
                <w:rFonts w:ascii="Times New Roman" w:hAnsi="Times New Roman" w:cs="Times New Roman"/>
                <w:color w:val="000000"/>
              </w:rPr>
              <w:t>Автокофейня</w:t>
            </w:r>
            <w:proofErr w:type="spellEnd"/>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610B3C" w:rsidRPr="00610B3C" w:rsidRDefault="00610B3C" w:rsidP="00610B3C">
            <w:pPr>
              <w:jc w:val="center"/>
              <w:rPr>
                <w:rFonts w:ascii="Times New Roman" w:hAnsi="Times New Roman" w:cs="Times New Roman"/>
                <w:color w:val="000000"/>
              </w:rPr>
            </w:pPr>
            <w:r w:rsidRPr="00610B3C">
              <w:rPr>
                <w:rFonts w:ascii="Times New Roman" w:hAnsi="Times New Roman" w:cs="Times New Roman"/>
                <w:color w:val="000000"/>
              </w:rPr>
              <w:t>Реализация кофе</w:t>
            </w:r>
          </w:p>
        </w:tc>
      </w:tr>
      <w:tr w:rsidR="00350231" w:rsidRPr="00D13AAE" w:rsidTr="00BF4251">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350231" w:rsidRDefault="00350231" w:rsidP="0035023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15</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50231" w:rsidRPr="00350231" w:rsidRDefault="00350231" w:rsidP="00350231">
            <w:pPr>
              <w:rPr>
                <w:rFonts w:ascii="Times New Roman" w:hAnsi="Times New Roman" w:cs="Times New Roman"/>
                <w:color w:val="000000"/>
                <w:sz w:val="20"/>
                <w:szCs w:val="20"/>
              </w:rPr>
            </w:pPr>
            <w:r w:rsidRPr="00350231">
              <w:rPr>
                <w:rFonts w:ascii="Times New Roman" w:hAnsi="Times New Roman" w:cs="Times New Roman"/>
                <w:color w:val="000000"/>
                <w:sz w:val="20"/>
                <w:szCs w:val="20"/>
              </w:rPr>
              <w:t>ул. Московская, 56</w:t>
            </w:r>
          </w:p>
        </w:tc>
        <w:tc>
          <w:tcPr>
            <w:tcW w:w="1355" w:type="dxa"/>
            <w:tcBorders>
              <w:top w:val="single" w:sz="4" w:space="0" w:color="auto"/>
              <w:left w:val="nil"/>
              <w:bottom w:val="single" w:sz="4" w:space="0" w:color="auto"/>
              <w:right w:val="single" w:sz="4" w:space="0" w:color="auto"/>
            </w:tcBorders>
            <w:shd w:val="clear" w:color="000000" w:fill="FFFFFF"/>
          </w:tcPr>
          <w:p w:rsidR="00350231" w:rsidRPr="00350231" w:rsidRDefault="00350231" w:rsidP="00350231">
            <w:pPr>
              <w:jc w:val="center"/>
              <w:rPr>
                <w:rFonts w:ascii="Times New Roman" w:hAnsi="Times New Roman" w:cs="Times New Roman"/>
                <w:color w:val="000000"/>
                <w:sz w:val="20"/>
                <w:szCs w:val="20"/>
              </w:rPr>
            </w:pPr>
            <w:r w:rsidRPr="00350231">
              <w:rPr>
                <w:rFonts w:ascii="Times New Roman" w:hAnsi="Times New Roman" w:cs="Times New Roman"/>
                <w:color w:val="000000"/>
                <w:sz w:val="20"/>
                <w:szCs w:val="20"/>
              </w:rPr>
              <w:t>32</w:t>
            </w:r>
          </w:p>
        </w:tc>
        <w:tc>
          <w:tcPr>
            <w:tcW w:w="1738" w:type="dxa"/>
            <w:tcBorders>
              <w:top w:val="single" w:sz="4" w:space="0" w:color="auto"/>
              <w:left w:val="nil"/>
              <w:bottom w:val="single" w:sz="4" w:space="0" w:color="auto"/>
              <w:right w:val="single" w:sz="4" w:space="0" w:color="auto"/>
            </w:tcBorders>
            <w:shd w:val="clear" w:color="000000" w:fill="FFFFFF"/>
          </w:tcPr>
          <w:p w:rsidR="00350231" w:rsidRPr="00350231" w:rsidRDefault="00350231" w:rsidP="00350231">
            <w:pPr>
              <w:jc w:val="center"/>
              <w:rPr>
                <w:rFonts w:ascii="Times New Roman" w:hAnsi="Times New Roman" w:cs="Times New Roman"/>
                <w:color w:val="000000"/>
                <w:sz w:val="20"/>
                <w:szCs w:val="20"/>
              </w:rPr>
            </w:pPr>
            <w:r w:rsidRPr="00350231">
              <w:rPr>
                <w:rFonts w:ascii="Times New Roman" w:hAnsi="Times New Roman" w:cs="Times New Roman"/>
                <w:color w:val="000000"/>
                <w:sz w:val="20"/>
                <w:szCs w:val="20"/>
              </w:rPr>
              <w:t>Киоск</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350231" w:rsidRPr="00350231" w:rsidRDefault="00350231" w:rsidP="00350231">
            <w:pPr>
              <w:jc w:val="center"/>
              <w:rPr>
                <w:rFonts w:ascii="Times New Roman" w:hAnsi="Times New Roman" w:cs="Times New Roman"/>
                <w:color w:val="000000"/>
                <w:sz w:val="20"/>
                <w:szCs w:val="20"/>
              </w:rPr>
            </w:pPr>
            <w:r w:rsidRPr="00350231">
              <w:rPr>
                <w:rFonts w:ascii="Times New Roman" w:hAnsi="Times New Roman" w:cs="Times New Roman"/>
                <w:color w:val="000000"/>
                <w:sz w:val="20"/>
                <w:szCs w:val="20"/>
              </w:rPr>
              <w:t>Реализация продовольственных товаров смешанного ассортимента</w:t>
            </w:r>
          </w:p>
        </w:tc>
      </w:tr>
      <w:tr w:rsidR="00350231" w:rsidRPr="00D13AAE" w:rsidTr="00152662">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350231" w:rsidRDefault="00350231" w:rsidP="0035023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50231" w:rsidRPr="00350231" w:rsidRDefault="00350231" w:rsidP="00350231">
            <w:pPr>
              <w:rPr>
                <w:rFonts w:ascii="Times New Roman" w:hAnsi="Times New Roman" w:cs="Times New Roman"/>
                <w:color w:val="000000"/>
                <w:sz w:val="20"/>
                <w:szCs w:val="20"/>
              </w:rPr>
            </w:pPr>
            <w:r w:rsidRPr="00350231">
              <w:rPr>
                <w:rFonts w:ascii="Times New Roman" w:hAnsi="Times New Roman" w:cs="Times New Roman"/>
                <w:color w:val="000000"/>
                <w:sz w:val="20"/>
                <w:szCs w:val="20"/>
              </w:rPr>
              <w:t>ул. Владикавказская, 55</w:t>
            </w:r>
          </w:p>
        </w:tc>
        <w:tc>
          <w:tcPr>
            <w:tcW w:w="1355" w:type="dxa"/>
            <w:tcBorders>
              <w:top w:val="single" w:sz="4" w:space="0" w:color="auto"/>
              <w:left w:val="nil"/>
              <w:bottom w:val="single" w:sz="4" w:space="0" w:color="auto"/>
              <w:right w:val="single" w:sz="4" w:space="0" w:color="auto"/>
            </w:tcBorders>
            <w:shd w:val="clear" w:color="000000" w:fill="FFFFFF"/>
          </w:tcPr>
          <w:p w:rsidR="00350231" w:rsidRPr="00350231" w:rsidRDefault="00350231" w:rsidP="00350231">
            <w:pPr>
              <w:jc w:val="center"/>
              <w:rPr>
                <w:rFonts w:ascii="Times New Roman" w:hAnsi="Times New Roman" w:cs="Times New Roman"/>
                <w:color w:val="000000"/>
                <w:sz w:val="20"/>
                <w:szCs w:val="20"/>
              </w:rPr>
            </w:pPr>
            <w:r w:rsidRPr="00350231">
              <w:rPr>
                <w:rFonts w:ascii="Times New Roman" w:hAnsi="Times New Roman" w:cs="Times New Roman"/>
                <w:color w:val="000000"/>
                <w:sz w:val="20"/>
                <w:szCs w:val="20"/>
              </w:rPr>
              <w:t>10</w:t>
            </w:r>
          </w:p>
        </w:tc>
        <w:tc>
          <w:tcPr>
            <w:tcW w:w="1738" w:type="dxa"/>
            <w:tcBorders>
              <w:top w:val="single" w:sz="4" w:space="0" w:color="auto"/>
              <w:left w:val="nil"/>
              <w:bottom w:val="single" w:sz="4" w:space="0" w:color="auto"/>
              <w:right w:val="single" w:sz="4" w:space="0" w:color="auto"/>
            </w:tcBorders>
            <w:shd w:val="clear" w:color="000000" w:fill="FFFFFF"/>
          </w:tcPr>
          <w:p w:rsidR="00350231" w:rsidRPr="00350231" w:rsidRDefault="00350231" w:rsidP="00350231">
            <w:pPr>
              <w:jc w:val="center"/>
              <w:rPr>
                <w:rFonts w:ascii="Times New Roman" w:hAnsi="Times New Roman" w:cs="Times New Roman"/>
                <w:color w:val="000000"/>
                <w:sz w:val="20"/>
                <w:szCs w:val="20"/>
              </w:rPr>
            </w:pPr>
            <w:r w:rsidRPr="00350231">
              <w:rPr>
                <w:rFonts w:ascii="Times New Roman" w:hAnsi="Times New Roman" w:cs="Times New Roman"/>
                <w:color w:val="000000"/>
                <w:sz w:val="20"/>
                <w:szCs w:val="20"/>
              </w:rPr>
              <w:t>Киоск</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350231" w:rsidRPr="00350231" w:rsidRDefault="00350231" w:rsidP="00350231">
            <w:pPr>
              <w:jc w:val="center"/>
              <w:rPr>
                <w:rFonts w:ascii="Times New Roman" w:hAnsi="Times New Roman" w:cs="Times New Roman"/>
                <w:color w:val="000000"/>
                <w:sz w:val="20"/>
                <w:szCs w:val="20"/>
              </w:rPr>
            </w:pPr>
            <w:r w:rsidRPr="00350231">
              <w:rPr>
                <w:rFonts w:ascii="Times New Roman" w:hAnsi="Times New Roman" w:cs="Times New Roman"/>
                <w:color w:val="000000"/>
                <w:sz w:val="20"/>
                <w:szCs w:val="20"/>
              </w:rPr>
              <w:t>Реализация продовольственных товаров смешанного ассортимента</w:t>
            </w:r>
          </w:p>
        </w:tc>
      </w:tr>
    </w:tbl>
    <w:p w:rsidR="00D13AAE" w:rsidRDefault="00D13AAE"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D13AAE">
        <w:rPr>
          <w:rFonts w:ascii="Times New Roman" w:eastAsia="Times New Roman" w:hAnsi="Times New Roman" w:cs="Times New Roman"/>
          <w:color w:val="000000"/>
          <w:sz w:val="24"/>
          <w:szCs w:val="24"/>
          <w:lang w:eastAsia="zh-CN"/>
        </w:rPr>
        <w:t>29</w:t>
      </w:r>
      <w:r w:rsidR="008258D1">
        <w:rPr>
          <w:rFonts w:ascii="Times New Roman" w:eastAsia="Times New Roman" w:hAnsi="Times New Roman" w:cs="Times New Roman"/>
          <w:color w:val="000000"/>
          <w:sz w:val="24"/>
          <w:szCs w:val="24"/>
          <w:lang w:eastAsia="zh-CN"/>
        </w:rPr>
        <w:t>.05</w:t>
      </w:r>
      <w:r w:rsidR="003F1D4F">
        <w:rPr>
          <w:rFonts w:ascii="Times New Roman" w:eastAsia="Times New Roman" w:hAnsi="Times New Roman" w:cs="Times New Roman"/>
          <w:color w:val="000000"/>
          <w:sz w:val="24"/>
          <w:szCs w:val="24"/>
          <w:lang w:eastAsia="zh-CN"/>
        </w:rPr>
        <w:t>.2019</w:t>
      </w:r>
      <w:r w:rsidR="008B5B3B">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w:t>
      </w:r>
      <w:r w:rsidR="00810CE4">
        <w:rPr>
          <w:rFonts w:ascii="Times New Roman" w:eastAsia="Times New Roman" w:hAnsi="Times New Roman" w:cs="Times New Roman"/>
          <w:color w:val="000000"/>
          <w:sz w:val="24"/>
          <w:szCs w:val="24"/>
          <w:lang w:eastAsia="zh-CN"/>
        </w:rPr>
        <w:t xml:space="preserve"> 00 мин. ежедневно, тел.70-76-05</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8258D1">
        <w:rPr>
          <w:rFonts w:ascii="Times New Roman" w:eastAsia="Times New Roman" w:hAnsi="Times New Roman" w:cs="Times New Roman"/>
          <w:color w:val="000000"/>
          <w:sz w:val="24"/>
          <w:szCs w:val="24"/>
          <w:lang w:eastAsia="zh-CN"/>
        </w:rPr>
        <w:t xml:space="preserve"> 31</w:t>
      </w:r>
      <w:r w:rsidR="00D13AAE">
        <w:rPr>
          <w:rFonts w:ascii="Times New Roman" w:eastAsia="Times New Roman" w:hAnsi="Times New Roman" w:cs="Times New Roman"/>
          <w:color w:val="000000"/>
          <w:sz w:val="24"/>
          <w:szCs w:val="24"/>
          <w:lang w:eastAsia="zh-CN"/>
        </w:rPr>
        <w:t>.</w:t>
      </w:r>
      <w:r w:rsidR="008258D1">
        <w:rPr>
          <w:rFonts w:ascii="Times New Roman" w:eastAsia="Times New Roman" w:hAnsi="Times New Roman" w:cs="Times New Roman"/>
          <w:color w:val="000000"/>
          <w:sz w:val="24"/>
          <w:szCs w:val="24"/>
          <w:lang w:eastAsia="zh-CN"/>
        </w:rPr>
        <w:t>05</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8258D1">
        <w:rPr>
          <w:rFonts w:ascii="Times New Roman" w:eastAsia="Times New Roman" w:hAnsi="Times New Roman" w:cs="Times New Roman"/>
          <w:color w:val="000000"/>
          <w:sz w:val="24"/>
          <w:szCs w:val="24"/>
          <w:lang w:eastAsia="zh-CN"/>
        </w:rPr>
        <w:t>: 31.05</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008258D1">
        <w:rPr>
          <w:rFonts w:ascii="Times New Roman" w:eastAsia="Times New Roman" w:hAnsi="Times New Roman" w:cs="Times New Roman"/>
          <w:sz w:val="24"/>
          <w:szCs w:val="24"/>
          <w:lang w:eastAsia="ru-RU"/>
        </w:rPr>
        <w:t>: 31.05</w:t>
      </w:r>
      <w:r w:rsidR="003F1D4F">
        <w:rPr>
          <w:rFonts w:ascii="Times New Roman" w:eastAsia="Times New Roman" w:hAnsi="Times New Roman" w:cs="Times New Roman"/>
          <w:sz w:val="24"/>
          <w:szCs w:val="24"/>
          <w:lang w:eastAsia="ru-RU"/>
        </w:rPr>
        <w:t>.2019</w:t>
      </w:r>
      <w:r w:rsidR="00E2029A">
        <w:rPr>
          <w:rFonts w:ascii="Times New Roman" w:eastAsia="Times New Roman" w:hAnsi="Times New Roman" w:cs="Times New Roman"/>
          <w:sz w:val="24"/>
          <w:szCs w:val="24"/>
          <w:lang w:eastAsia="ru-RU"/>
        </w:rPr>
        <w:t xml:space="preserve"> г.</w:t>
      </w:r>
    </w:p>
    <w:p w:rsidR="008B5B3B" w:rsidRPr="005362A2"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FF7D70"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4"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5"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N п/п</w:t>
            </w:r>
          </w:p>
        </w:tc>
        <w:tc>
          <w:tcPr>
            <w:tcW w:w="3890"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Наименование конкурсного условия</w:t>
            </w:r>
          </w:p>
        </w:tc>
        <w:tc>
          <w:tcPr>
            <w:tcW w:w="4553"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2.</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3.</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Опыт работы заявителя в сфере торговли или оказания услуг</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4.</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Поддержка местных товаропроизводителей и качество обслуживания населения</w:t>
            </w:r>
          </w:p>
        </w:tc>
        <w:tc>
          <w:tcPr>
            <w:tcW w:w="4553" w:type="dxa"/>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5.</w:t>
            </w:r>
          </w:p>
        </w:tc>
        <w:tc>
          <w:tcPr>
            <w:tcW w:w="3890"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Заявитель имеет право отозвать поданную заявку не позднее чем за 3 календарных дня до дня проведения конкурсной процедуры, уведомив Управление в </w:t>
      </w:r>
      <w:r w:rsidRPr="005362A2">
        <w:rPr>
          <w:rFonts w:ascii="Times New Roman" w:eastAsia="Times New Roman" w:hAnsi="Times New Roman" w:cs="Times New Roman"/>
          <w:sz w:val="24"/>
          <w:szCs w:val="24"/>
          <w:lang w:eastAsia="ru-RU"/>
        </w:rPr>
        <w:lastRenderedPageBreak/>
        <w:t>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6"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в случае если в графе "финансовое предложение предпринимателя" в бланке финансового предложения за право заключения договора о размещении </w:t>
      </w:r>
      <w:r w:rsidRPr="005362A2">
        <w:rPr>
          <w:rFonts w:ascii="Times New Roman" w:eastAsia="Times New Roman" w:hAnsi="Times New Roman" w:cs="Times New Roman"/>
          <w:sz w:val="24"/>
          <w:szCs w:val="24"/>
          <w:lang w:eastAsia="ru-RU"/>
        </w:rPr>
        <w:lastRenderedPageBreak/>
        <w:t>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9545F5"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7"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подачи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принятия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810CE4" w:rsidRDefault="005362A2" w:rsidP="00810CE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5362A2">
        <w:rPr>
          <w:rFonts w:ascii="Times New Roman" w:eastAsiaTheme="minorEastAsia" w:hAnsi="Times New Roman" w:cs="Times New Roman"/>
          <w:bCs/>
          <w:sz w:val="24"/>
          <w:szCs w:val="24"/>
          <w:lang w:eastAsia="ru-RU"/>
        </w:rPr>
        <w:t xml:space="preserve">Договор № ___ </w:t>
      </w:r>
      <w:r w:rsidRPr="005362A2">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5362A2" w:rsidRPr="005362A2" w:rsidTr="00391775">
        <w:tc>
          <w:tcPr>
            <w:tcW w:w="4814"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г. Владикавказ</w:t>
            </w:r>
          </w:p>
        </w:tc>
        <w:tc>
          <w:tcPr>
            <w:tcW w:w="4815"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"___" _______________ 201__ года</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100"/>
      <w:r w:rsidRPr="005362A2">
        <w:rPr>
          <w:rFonts w:ascii="Times New Roman" w:eastAsiaTheme="minorEastAsia" w:hAnsi="Times New Roman" w:cs="Times New Roman"/>
          <w:bCs/>
          <w:sz w:val="24"/>
          <w:szCs w:val="24"/>
          <w:lang w:eastAsia="ru-RU"/>
        </w:rPr>
        <w:t>1. Предмет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11"/>
      <w:bookmarkEnd w:id="4"/>
      <w:r w:rsidRPr="005362A2">
        <w:rPr>
          <w:rFonts w:ascii="Times New Roman" w:eastAsiaTheme="minorEastAsia" w:hAnsi="Times New Roman" w:cs="Times New Roman"/>
          <w:sz w:val="24"/>
          <w:szCs w:val="24"/>
          <w:lang w:eastAsia="ru-RU"/>
        </w:rPr>
        <w:lastRenderedPageBreak/>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5362A2">
        <w:rPr>
          <w:rFonts w:ascii="Times New Roman" w:eastAsiaTheme="minorEastAsia" w:hAnsi="Times New Roman" w:cs="Times New Roman"/>
          <w:sz w:val="24"/>
          <w:szCs w:val="24"/>
          <w:lang w:eastAsia="ru-RU"/>
        </w:rPr>
        <w:t>_(</w:t>
      </w:r>
      <w:proofErr w:type="gramEnd"/>
      <w:r w:rsidRPr="005362A2">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5362A2">
        <w:rPr>
          <w:rFonts w:ascii="Times New Roman" w:eastAsiaTheme="minorEastAsia" w:hAnsi="Times New Roman" w:cs="Times New Roman"/>
          <w:sz w:val="24"/>
          <w:szCs w:val="24"/>
          <w:lang w:eastAsia="ru-RU"/>
        </w:rPr>
        <w:t>по</w:t>
      </w:r>
      <w:proofErr w:type="spellEnd"/>
      <w:r w:rsidRPr="005362A2">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12"/>
      <w:bookmarkEnd w:id="5"/>
      <w:r w:rsidRPr="005362A2">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5362A2">
          <w:rPr>
            <w:rFonts w:ascii="Times New Roman" w:eastAsiaTheme="minorEastAsia" w:hAnsi="Times New Roman" w:cs="Times New Roman"/>
            <w:bCs/>
            <w:sz w:val="24"/>
            <w:szCs w:val="24"/>
            <w:lang w:eastAsia="ru-RU"/>
          </w:rPr>
          <w:t>Приложение N 1</w:t>
        </w:r>
      </w:hyperlink>
      <w:r w:rsidRPr="005362A2">
        <w:rPr>
          <w:rFonts w:ascii="Times New Roman" w:eastAsiaTheme="minorEastAsia" w:hAnsi="Times New Roman" w:cs="Times New Roman"/>
          <w:sz w:val="24"/>
          <w:szCs w:val="24"/>
          <w:lang w:eastAsia="ru-RU"/>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7" w:name="sub_105200"/>
      <w:bookmarkEnd w:id="6"/>
      <w:r w:rsidRPr="005362A2">
        <w:rPr>
          <w:rFonts w:ascii="Times New Roman" w:eastAsiaTheme="minorEastAsia" w:hAnsi="Times New Roman" w:cs="Times New Roman"/>
          <w:bCs/>
          <w:sz w:val="24"/>
          <w:szCs w:val="24"/>
          <w:lang w:eastAsia="ru-RU"/>
        </w:rPr>
        <w:t>2. Права и обязанности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
      <w:bookmarkEnd w:id="7"/>
      <w:r w:rsidRPr="005362A2">
        <w:rPr>
          <w:rFonts w:ascii="Times New Roman" w:eastAsiaTheme="minorEastAsia" w:hAnsi="Times New Roman" w:cs="Times New Roman"/>
          <w:sz w:val="24"/>
          <w:szCs w:val="24"/>
          <w:lang w:eastAsia="ru-RU"/>
        </w:rPr>
        <w:t>2.1. Администрация: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11"/>
      <w:bookmarkEnd w:id="8"/>
      <w:r w:rsidRPr="005362A2">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12"/>
      <w:bookmarkEnd w:id="9"/>
      <w:r w:rsidRPr="005362A2">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13"/>
      <w:bookmarkEnd w:id="10"/>
      <w:r w:rsidRPr="005362A2">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5362A2">
          <w:rPr>
            <w:rFonts w:ascii="Times New Roman" w:eastAsiaTheme="minorEastAsia" w:hAnsi="Times New Roman" w:cs="Times New Roman"/>
            <w:bCs/>
            <w:sz w:val="24"/>
            <w:szCs w:val="24"/>
            <w:lang w:eastAsia="ru-RU"/>
          </w:rPr>
          <w:t>пунктом 2.4</w:t>
        </w:r>
      </w:hyperlink>
      <w:r w:rsidRPr="005362A2">
        <w:rPr>
          <w:rFonts w:ascii="Times New Roman" w:eastAsiaTheme="minorEastAsia" w:hAnsi="Times New Roman" w:cs="Times New Roman"/>
          <w:sz w:val="24"/>
          <w:szCs w:val="24"/>
          <w:lang w:eastAsia="ru-RU"/>
        </w:rPr>
        <w:t xml:space="preserve"> Договора, за счет Участника.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2"/>
      <w:bookmarkEnd w:id="11"/>
      <w:r w:rsidRPr="005362A2">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3"/>
      <w:bookmarkEnd w:id="12"/>
      <w:r w:rsidRPr="005362A2">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bCs/>
          <w:sz w:val="24"/>
          <w:szCs w:val="24"/>
          <w:lang w:eastAsia="ru-RU"/>
        </w:rPr>
        <w:t xml:space="preserve"> № ____</w:t>
      </w:r>
      <w:r w:rsidRPr="005362A2">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
      <w:bookmarkEnd w:id="13"/>
      <w:r w:rsidRPr="005362A2">
        <w:rPr>
          <w:rFonts w:ascii="Times New Roman" w:eastAsiaTheme="minorEastAsia" w:hAnsi="Times New Roman" w:cs="Times New Roman"/>
          <w:sz w:val="24"/>
          <w:szCs w:val="24"/>
          <w:lang w:eastAsia="ru-RU"/>
        </w:rPr>
        <w:t>2.4. Участник обязуется: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1"/>
      <w:bookmarkEnd w:id="14"/>
      <w:r w:rsidRPr="005362A2">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2"/>
      <w:bookmarkEnd w:id="15"/>
      <w:r w:rsidRPr="005362A2">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3"/>
      <w:bookmarkEnd w:id="16"/>
      <w:r w:rsidRPr="005362A2">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5362A2">
          <w:rPr>
            <w:rFonts w:ascii="Times New Roman" w:eastAsiaTheme="minorEastAsia" w:hAnsi="Times New Roman" w:cs="Times New Roman"/>
            <w:bCs/>
            <w:sz w:val="24"/>
            <w:szCs w:val="24"/>
            <w:lang w:eastAsia="ru-RU"/>
          </w:rPr>
          <w:t>пункте 1.1</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4"/>
      <w:bookmarkEnd w:id="17"/>
      <w:r w:rsidRPr="005362A2">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
      <w:bookmarkEnd w:id="18"/>
      <w:r w:rsidRPr="005362A2">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1"/>
      <w:bookmarkEnd w:id="19"/>
      <w:r w:rsidRPr="005362A2">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sz w:val="24"/>
          <w:szCs w:val="24"/>
          <w:lang w:eastAsia="ru-RU"/>
        </w:rPr>
        <w:t xml:space="preserve">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2"/>
      <w:bookmarkEnd w:id="20"/>
      <w:r w:rsidRPr="005362A2">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3"/>
      <w:bookmarkEnd w:id="21"/>
      <w:r w:rsidRPr="005362A2">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4"/>
      <w:bookmarkEnd w:id="22"/>
      <w:r w:rsidRPr="005362A2">
        <w:rPr>
          <w:rFonts w:ascii="Times New Roman" w:eastAsiaTheme="minorEastAsia" w:hAnsi="Times New Roman" w:cs="Times New Roman"/>
          <w:sz w:val="24"/>
          <w:szCs w:val="24"/>
          <w:lang w:eastAsia="ru-RU"/>
        </w:rPr>
        <w:t xml:space="preserve">личные медицинские книжки работников с отметкой о прохождении периодических и профилактических медицинских обследований и отметкой о </w:t>
      </w:r>
      <w:r w:rsidRPr="005362A2">
        <w:rPr>
          <w:rFonts w:ascii="Times New Roman" w:eastAsiaTheme="minorEastAsia" w:hAnsi="Times New Roman" w:cs="Times New Roman"/>
          <w:sz w:val="24"/>
          <w:szCs w:val="24"/>
          <w:lang w:eastAsia="ru-RU"/>
        </w:rPr>
        <w:lastRenderedPageBreak/>
        <w:t>прохождении гигиенического обучения персонала;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55"/>
      <w:bookmarkEnd w:id="23"/>
      <w:r w:rsidRPr="005362A2">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56"/>
      <w:bookmarkEnd w:id="24"/>
      <w:r w:rsidRPr="005362A2">
        <w:rPr>
          <w:rFonts w:ascii="Times New Roman" w:eastAsiaTheme="minorEastAsia" w:hAnsi="Times New Roman" w:cs="Times New Roman"/>
          <w:sz w:val="24"/>
          <w:szCs w:val="24"/>
          <w:lang w:eastAsia="ru-RU"/>
        </w:rPr>
        <w:t xml:space="preserve">предусмотренных </w:t>
      </w:r>
      <w:hyperlink r:id="rId8" w:history="1">
        <w:r w:rsidRPr="005362A2">
          <w:rPr>
            <w:rFonts w:ascii="Times New Roman" w:eastAsiaTheme="minorEastAsia" w:hAnsi="Times New Roman" w:cs="Times New Roman"/>
            <w:bCs/>
            <w:sz w:val="24"/>
            <w:szCs w:val="24"/>
            <w:lang w:eastAsia="ru-RU"/>
          </w:rPr>
          <w:t>Законом</w:t>
        </w:r>
      </w:hyperlink>
      <w:r w:rsidRPr="005362A2">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57"/>
      <w:bookmarkEnd w:id="25"/>
      <w:r w:rsidRPr="005362A2">
        <w:rPr>
          <w:rFonts w:ascii="Times New Roman" w:eastAsiaTheme="minorEastAsia" w:hAnsi="Times New Roman" w:cs="Times New Roman"/>
          <w:sz w:val="24"/>
          <w:szCs w:val="24"/>
          <w:lang w:eastAsia="ru-RU"/>
        </w:rPr>
        <w:t>журнала учета мероприятий по контролю за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6"/>
      <w:bookmarkEnd w:id="26"/>
      <w:r w:rsidRPr="005362A2">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7"/>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9545F5"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005362A2" w:rsidRPr="005362A2">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049033001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04103005030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9545F5"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5362A2" w:rsidRPr="005362A2">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1501002346</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9545F5"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5362A2" w:rsidRPr="005362A2">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151501001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9545F5"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5362A2" w:rsidRPr="005362A2">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(90701000)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9545F5"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5362A2" w:rsidRPr="005362A2">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59811705040040000180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Прочие неналоговые доходы</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61"/>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62"/>
      <w:bookmarkEnd w:id="28"/>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
      <w:bookmarkEnd w:id="29"/>
      <w:r w:rsidRPr="005362A2">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52471"/>
      <w:bookmarkEnd w:id="30"/>
      <w:r w:rsidRPr="005362A2">
        <w:rPr>
          <w:rFonts w:ascii="Times New Roman" w:eastAsiaTheme="minorEastAsia" w:hAnsi="Times New Roman" w:cs="Times New Roman"/>
          <w:sz w:val="24"/>
          <w:szCs w:val="24"/>
          <w:lang w:eastAsia="ru-RU"/>
        </w:rPr>
        <w:t>по окончании срока действия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2472"/>
      <w:bookmarkEnd w:id="31"/>
      <w:r w:rsidRPr="005362A2">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5362A2">
          <w:rPr>
            <w:rFonts w:ascii="Times New Roman" w:eastAsiaTheme="minorEastAsia" w:hAnsi="Times New Roman" w:cs="Times New Roman"/>
            <w:bCs/>
            <w:sz w:val="24"/>
            <w:szCs w:val="24"/>
            <w:lang w:eastAsia="ru-RU"/>
          </w:rPr>
          <w:t>разделом 3</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2473"/>
      <w:bookmarkEnd w:id="32"/>
      <w:r w:rsidRPr="005362A2">
        <w:rPr>
          <w:rFonts w:ascii="Times New Roman" w:eastAsiaTheme="minorEastAsia" w:hAnsi="Times New Roman" w:cs="Times New Roman"/>
          <w:sz w:val="24"/>
          <w:szCs w:val="24"/>
          <w:lang w:eastAsia="ru-RU"/>
        </w:rPr>
        <w:t>на основании решения суда, вступившего в законную силу.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4" w:name="sub_105300"/>
      <w:bookmarkEnd w:id="33"/>
      <w:r w:rsidRPr="005362A2">
        <w:rPr>
          <w:rFonts w:ascii="Times New Roman" w:eastAsiaTheme="minorEastAsia" w:hAnsi="Times New Roman" w:cs="Times New Roman"/>
          <w:bCs/>
          <w:sz w:val="24"/>
          <w:szCs w:val="24"/>
          <w:lang w:eastAsia="ru-RU"/>
        </w:rPr>
        <w:t>3. Расторжение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
      <w:bookmarkEnd w:id="34"/>
      <w:r w:rsidRPr="005362A2">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1"/>
      <w:bookmarkEnd w:id="35"/>
      <w:proofErr w:type="spellStart"/>
      <w:r w:rsidRPr="005362A2">
        <w:rPr>
          <w:rFonts w:ascii="Times New Roman" w:eastAsiaTheme="minorEastAsia" w:hAnsi="Times New Roman" w:cs="Times New Roman"/>
          <w:sz w:val="24"/>
          <w:szCs w:val="24"/>
          <w:lang w:eastAsia="ru-RU"/>
        </w:rPr>
        <w:t>неустранения</w:t>
      </w:r>
      <w:proofErr w:type="spellEnd"/>
      <w:r w:rsidRPr="005362A2">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12"/>
      <w:bookmarkEnd w:id="36"/>
      <w:r w:rsidRPr="005362A2">
        <w:rPr>
          <w:rFonts w:ascii="Times New Roman" w:eastAsiaTheme="minorEastAsia" w:hAnsi="Times New Roman" w:cs="Times New Roman"/>
          <w:sz w:val="24"/>
          <w:szCs w:val="24"/>
          <w:lang w:eastAsia="ru-RU"/>
        </w:rPr>
        <w:t xml:space="preserve">нарушения Участником </w:t>
      </w:r>
      <w:hyperlink w:anchor="sub_105241" w:history="1">
        <w:r w:rsidRPr="005362A2">
          <w:rPr>
            <w:rFonts w:ascii="Times New Roman" w:eastAsiaTheme="minorEastAsia" w:hAnsi="Times New Roman" w:cs="Times New Roman"/>
            <w:bCs/>
            <w:sz w:val="24"/>
            <w:szCs w:val="24"/>
            <w:lang w:eastAsia="ru-RU"/>
          </w:rPr>
          <w:t xml:space="preserve">подпунктов </w:t>
        </w:r>
        <w:proofErr w:type="gramStart"/>
        <w:r w:rsidRPr="005362A2">
          <w:rPr>
            <w:rFonts w:ascii="Times New Roman" w:eastAsiaTheme="minorEastAsia" w:hAnsi="Times New Roman" w:cs="Times New Roman"/>
            <w:bCs/>
            <w:sz w:val="24"/>
            <w:szCs w:val="24"/>
            <w:lang w:eastAsia="ru-RU"/>
          </w:rPr>
          <w:t>2.3,2.4.1</w:t>
        </w:r>
        <w:proofErr w:type="gramEnd"/>
        <w:r w:rsidRPr="005362A2">
          <w:rPr>
            <w:rFonts w:ascii="Times New Roman" w:eastAsiaTheme="minorEastAsia" w:hAnsi="Times New Roman" w:cs="Times New Roman"/>
            <w:bCs/>
            <w:sz w:val="24"/>
            <w:szCs w:val="24"/>
            <w:lang w:eastAsia="ru-RU"/>
          </w:rPr>
          <w:t>-2.4.3</w:t>
        </w:r>
      </w:hyperlink>
      <w:r w:rsidRPr="005362A2">
        <w:rPr>
          <w:rFonts w:ascii="Times New Roman" w:eastAsiaTheme="minorEastAsia" w:hAnsi="Times New Roman" w:cs="Times New Roman"/>
          <w:sz w:val="24"/>
          <w:szCs w:val="24"/>
          <w:lang w:eastAsia="ru-RU"/>
        </w:rPr>
        <w:t xml:space="preserve">, </w:t>
      </w:r>
      <w:hyperlink w:anchor="sub_105246" w:history="1">
        <w:r w:rsidRPr="005362A2">
          <w:rPr>
            <w:rFonts w:ascii="Times New Roman" w:eastAsiaTheme="minorEastAsia" w:hAnsi="Times New Roman" w:cs="Times New Roman"/>
            <w:bCs/>
            <w:sz w:val="24"/>
            <w:szCs w:val="24"/>
            <w:lang w:eastAsia="ru-RU"/>
          </w:rPr>
          <w:t>2.4.6, 2.4.7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13"/>
      <w:bookmarkEnd w:id="37"/>
      <w:r w:rsidRPr="005362A2">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5362A2">
          <w:rPr>
            <w:rFonts w:ascii="Times New Roman" w:eastAsiaTheme="minorEastAsia" w:hAnsi="Times New Roman" w:cs="Times New Roman"/>
            <w:bCs/>
            <w:sz w:val="24"/>
            <w:szCs w:val="24"/>
            <w:lang w:eastAsia="ru-RU"/>
          </w:rPr>
          <w:t>подпунктов 2.4.4</w:t>
        </w:r>
      </w:hyperlink>
      <w:r w:rsidRPr="005362A2">
        <w:rPr>
          <w:rFonts w:ascii="Times New Roman" w:eastAsiaTheme="minorEastAsia" w:hAnsi="Times New Roman" w:cs="Times New Roman"/>
          <w:sz w:val="24"/>
          <w:szCs w:val="24"/>
          <w:lang w:eastAsia="ru-RU"/>
        </w:rPr>
        <w:t xml:space="preserve">, </w:t>
      </w:r>
      <w:hyperlink w:anchor="sub_105245" w:history="1">
        <w:r w:rsidRPr="005362A2">
          <w:rPr>
            <w:rFonts w:ascii="Times New Roman" w:eastAsiaTheme="minorEastAsia" w:hAnsi="Times New Roman" w:cs="Times New Roman"/>
            <w:bCs/>
            <w:sz w:val="24"/>
            <w:szCs w:val="24"/>
            <w:lang w:eastAsia="ru-RU"/>
          </w:rPr>
          <w:t>2.4.5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5314"/>
      <w:bookmarkEnd w:id="38"/>
      <w:r w:rsidRPr="005362A2">
        <w:rPr>
          <w:rFonts w:ascii="Times New Roman" w:eastAsiaTheme="minorEastAsia" w:hAnsi="Times New Roman" w:cs="Times New Roman"/>
          <w:sz w:val="24"/>
          <w:szCs w:val="24"/>
          <w:lang w:eastAsia="ru-RU"/>
        </w:rPr>
        <w:t xml:space="preserve">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w:t>
      </w:r>
      <w:r w:rsidRPr="005362A2">
        <w:rPr>
          <w:rFonts w:ascii="Times New Roman" w:eastAsiaTheme="minorEastAsia" w:hAnsi="Times New Roman" w:cs="Times New Roman"/>
          <w:sz w:val="24"/>
          <w:szCs w:val="24"/>
          <w:lang w:eastAsia="ru-RU"/>
        </w:rPr>
        <w:lastRenderedPageBreak/>
        <w:t>Владикавказ (изъятие земельных участков (места), на котором размещен НТО для государственных или муниципальных нужд).</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32"/>
      <w:bookmarkEnd w:id="39"/>
      <w:r w:rsidRPr="005362A2">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5362A2">
          <w:rPr>
            <w:rFonts w:ascii="Times New Roman" w:eastAsiaTheme="minorEastAsia" w:hAnsi="Times New Roman" w:cs="Times New Roman"/>
            <w:bCs/>
            <w:sz w:val="24"/>
            <w:szCs w:val="24"/>
            <w:lang w:eastAsia="ru-RU"/>
          </w:rPr>
          <w:t>пунктом 4.1 раздела 4</w:t>
        </w:r>
      </w:hyperlink>
      <w:r w:rsidRPr="005362A2">
        <w:rPr>
          <w:rFonts w:ascii="Times New Roman" w:eastAsiaTheme="minorEastAsia" w:hAnsi="Times New Roman" w:cs="Times New Roman"/>
          <w:sz w:val="24"/>
          <w:szCs w:val="24"/>
          <w:lang w:eastAsia="ru-RU"/>
        </w:rPr>
        <w:t xml:space="preserve"> Договора Договор считается расторгнутым.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33"/>
      <w:bookmarkEnd w:id="40"/>
      <w:r w:rsidRPr="005362A2">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2" w:name="sub_105400"/>
      <w:bookmarkEnd w:id="41"/>
      <w:r w:rsidRPr="005362A2">
        <w:rPr>
          <w:rFonts w:ascii="Times New Roman" w:eastAsiaTheme="minorEastAsia" w:hAnsi="Times New Roman" w:cs="Times New Roman"/>
          <w:bCs/>
          <w:sz w:val="24"/>
          <w:szCs w:val="24"/>
          <w:lang w:eastAsia="ru-RU"/>
        </w:rPr>
        <w:t>4. Прочие условия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1"/>
      <w:bookmarkEnd w:id="42"/>
      <w:r w:rsidRPr="005362A2">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2"/>
      <w:bookmarkEnd w:id="43"/>
      <w:r w:rsidRPr="005362A2">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3"/>
      <w:bookmarkEnd w:id="44"/>
      <w:r w:rsidRPr="005362A2">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4" w:history="1">
        <w:r w:rsidRPr="005362A2">
          <w:rPr>
            <w:rFonts w:ascii="Times New Roman" w:eastAsiaTheme="minorEastAsia" w:hAnsi="Times New Roman" w:cs="Times New Roman"/>
            <w:bCs/>
            <w:sz w:val="24"/>
            <w:szCs w:val="24"/>
            <w:lang w:eastAsia="ru-RU"/>
          </w:rPr>
          <w:t>законодательством</w:t>
        </w:r>
      </w:hyperlink>
      <w:r w:rsidRPr="005362A2">
        <w:rPr>
          <w:rFonts w:ascii="Times New Roman" w:eastAsiaTheme="minorEastAsia" w:hAnsi="Times New Roman" w:cs="Times New Roman"/>
          <w:sz w:val="24"/>
          <w:szCs w:val="24"/>
          <w:lang w:eastAsia="ru-RU"/>
        </w:rPr>
        <w:t xml:space="preserve"> Российской Федерации.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
      <w:bookmarkEnd w:id="45"/>
      <w:r w:rsidRPr="005362A2">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05441"/>
      <w:bookmarkEnd w:id="46"/>
      <w:r w:rsidRPr="005362A2">
        <w:rPr>
          <w:rFonts w:ascii="Times New Roman" w:eastAsiaTheme="minorEastAsia" w:hAnsi="Times New Roman" w:cs="Times New Roman"/>
          <w:sz w:val="24"/>
          <w:szCs w:val="24"/>
          <w:lang w:eastAsia="ru-RU"/>
        </w:rPr>
        <w:t>Приложение: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54411"/>
      <w:bookmarkEnd w:id="47"/>
      <w:r w:rsidRPr="005362A2">
        <w:rPr>
          <w:rFonts w:ascii="Times New Roman" w:eastAsiaTheme="minorEastAsia" w:hAnsi="Times New Roman" w:cs="Times New Roman"/>
          <w:sz w:val="24"/>
          <w:szCs w:val="24"/>
          <w:lang w:eastAsia="ru-RU"/>
        </w:rPr>
        <w:t>1. Расчет стоимости платы за право на размещение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54412"/>
      <w:bookmarkEnd w:id="48"/>
      <w:r w:rsidRPr="005362A2">
        <w:rPr>
          <w:rFonts w:ascii="Times New Roman" w:eastAsiaTheme="minorEastAsia" w:hAnsi="Times New Roman" w:cs="Times New Roman"/>
          <w:sz w:val="24"/>
          <w:szCs w:val="24"/>
          <w:lang w:eastAsia="ru-RU"/>
        </w:rPr>
        <w:t>2. Схемы расположения (размещения) НТО (графический план);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3. Архитектурное решение.</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50" w:name="sub_105500"/>
      <w:bookmarkEnd w:id="49"/>
      <w:r w:rsidRPr="005362A2">
        <w:rPr>
          <w:rFonts w:ascii="Times New Roman" w:eastAsiaTheme="minorEastAsia" w:hAnsi="Times New Roman" w:cs="Times New Roman"/>
          <w:bCs/>
          <w:sz w:val="24"/>
          <w:szCs w:val="24"/>
          <w:lang w:eastAsia="ru-RU"/>
        </w:rPr>
        <w:t>5. Реквизиты, адреса</w:t>
      </w:r>
    </w:p>
    <w:tbl>
      <w:tblPr>
        <w:tblW w:w="80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5362A2" w:rsidRPr="005362A2" w:rsidTr="00391775">
        <w:trPr>
          <w:jc w:val="center"/>
        </w:trPr>
        <w:tc>
          <w:tcPr>
            <w:tcW w:w="4111" w:type="dxa"/>
            <w:tcBorders>
              <w:top w:val="nil"/>
              <w:left w:val="nil"/>
              <w:bottom w:val="nil"/>
              <w:right w:val="nil"/>
            </w:tcBorders>
          </w:tcPr>
          <w:bookmarkEnd w:id="50"/>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Участник:</w:t>
            </w: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5" w:history="1">
              <w:r w:rsidRPr="005362A2">
                <w:rPr>
                  <w:rFonts w:ascii="Times New Roman" w:eastAsiaTheme="minorEastAsia" w:hAnsi="Times New Roman" w:cs="Times New Roman"/>
                  <w:bCs/>
                  <w:sz w:val="24"/>
                  <w:szCs w:val="24"/>
                  <w:lang w:eastAsia="ru-RU"/>
                </w:rPr>
                <w:t>БИК</w:t>
              </w:r>
            </w:hyperlink>
            <w:r w:rsidRPr="005362A2">
              <w:rPr>
                <w:rFonts w:ascii="Times New Roman" w:eastAsiaTheme="minorEastAsia" w:hAnsi="Times New Roman" w:cs="Times New Roman"/>
                <w:sz w:val="24"/>
                <w:szCs w:val="24"/>
                <w:lang w:eastAsia="ru-RU"/>
              </w:rPr>
              <w:t xml:space="preserve"> 049033001</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 04103005030</w:t>
            </w:r>
          </w:p>
          <w:p w:rsidR="005362A2" w:rsidRPr="005362A2" w:rsidRDefault="009545F5"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1501002346/КПП: 151501001</w:t>
            </w:r>
          </w:p>
          <w:p w:rsidR="005362A2" w:rsidRPr="005362A2" w:rsidRDefault="009545F5"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5362A2" w:rsidRPr="005362A2">
                <w:rPr>
                  <w:rFonts w:ascii="Times New Roman" w:eastAsiaTheme="minorEastAsia" w:hAnsi="Times New Roman" w:cs="Times New Roman"/>
                  <w:bCs/>
                  <w:sz w:val="24"/>
                  <w:szCs w:val="24"/>
                  <w:lang w:eastAsia="ru-RU"/>
                </w:rPr>
                <w:t>ОКТМО</w:t>
              </w:r>
            </w:hyperlink>
            <w:r w:rsidR="005362A2" w:rsidRPr="005362A2">
              <w:rPr>
                <w:rFonts w:ascii="Times New Roman" w:eastAsiaTheme="minorEastAsia" w:hAnsi="Times New Roman" w:cs="Times New Roman"/>
                <w:sz w:val="24"/>
                <w:szCs w:val="24"/>
                <w:lang w:eastAsia="ru-RU"/>
              </w:rPr>
              <w:t xml:space="preserve"> (90701000)</w:t>
            </w:r>
          </w:p>
          <w:p w:rsidR="005362A2" w:rsidRPr="005362A2" w:rsidRDefault="009545F5"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5362A2" w:rsidRPr="005362A2">
                <w:rPr>
                  <w:rFonts w:ascii="Times New Roman" w:eastAsiaTheme="minorEastAsia" w:hAnsi="Times New Roman" w:cs="Times New Roman"/>
                  <w:bCs/>
                  <w:sz w:val="24"/>
                  <w:szCs w:val="24"/>
                  <w:lang w:eastAsia="ru-RU"/>
                </w:rPr>
                <w:t>КБК</w:t>
              </w:r>
            </w:hyperlink>
            <w:r w:rsidR="005362A2" w:rsidRPr="005362A2">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 /_____/</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671C0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14102D"/>
    <w:rsid w:val="001B60D7"/>
    <w:rsid w:val="00273C4A"/>
    <w:rsid w:val="002745B7"/>
    <w:rsid w:val="002866F0"/>
    <w:rsid w:val="00350231"/>
    <w:rsid w:val="00391775"/>
    <w:rsid w:val="003F1D4F"/>
    <w:rsid w:val="003F6816"/>
    <w:rsid w:val="00484177"/>
    <w:rsid w:val="00511CB5"/>
    <w:rsid w:val="005362A2"/>
    <w:rsid w:val="00551929"/>
    <w:rsid w:val="005E3A75"/>
    <w:rsid w:val="005F46FB"/>
    <w:rsid w:val="00610B3C"/>
    <w:rsid w:val="006203CC"/>
    <w:rsid w:val="00671C03"/>
    <w:rsid w:val="006A4650"/>
    <w:rsid w:val="00756EB1"/>
    <w:rsid w:val="007C045F"/>
    <w:rsid w:val="007F5F17"/>
    <w:rsid w:val="00810CE4"/>
    <w:rsid w:val="008258D1"/>
    <w:rsid w:val="00881F4E"/>
    <w:rsid w:val="008B5B3B"/>
    <w:rsid w:val="00953A88"/>
    <w:rsid w:val="009545F5"/>
    <w:rsid w:val="00983433"/>
    <w:rsid w:val="009D6E3D"/>
    <w:rsid w:val="009D74F7"/>
    <w:rsid w:val="00A763AB"/>
    <w:rsid w:val="00AA1556"/>
    <w:rsid w:val="00AD7580"/>
    <w:rsid w:val="00B277C5"/>
    <w:rsid w:val="00BA5976"/>
    <w:rsid w:val="00BF1DD3"/>
    <w:rsid w:val="00C06879"/>
    <w:rsid w:val="00C42DD7"/>
    <w:rsid w:val="00CD4610"/>
    <w:rsid w:val="00CE28B9"/>
    <w:rsid w:val="00D13AAE"/>
    <w:rsid w:val="00D52DA2"/>
    <w:rsid w:val="00E2029A"/>
    <w:rsid w:val="00E21032"/>
    <w:rsid w:val="00E93B4C"/>
    <w:rsid w:val="00EF634D"/>
    <w:rsid w:val="00FA62E1"/>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 w:id="8825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3" Type="http://schemas.openxmlformats.org/officeDocument/2006/relationships/webSettings" Target="webSettings.xml"/><Relationship Id="rId7" Type="http://schemas.openxmlformats.org/officeDocument/2006/relationships/hyperlink" Target="garantF1://12034853.1000" TargetMode="External"/><Relationship Id="rId12" Type="http://schemas.openxmlformats.org/officeDocument/2006/relationships/hyperlink" Target="garantF1://70365940.0" TargetMode="External"/><Relationship Id="rId17" Type="http://schemas.openxmlformats.org/officeDocument/2006/relationships/hyperlink" Target="garantF1://70365940.0" TargetMode="External"/><Relationship Id="rId2" Type="http://schemas.openxmlformats.org/officeDocument/2006/relationships/settings" Target="settings.xml"/><Relationship Id="rId16" Type="http://schemas.openxmlformats.org/officeDocument/2006/relationships/hyperlink" Target="garantF1://12034853.1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4C6D015C99FCC86500CBEDE45C5C2B97EAC45ABA089EE13D9DE43058Y9W9H" TargetMode="External"/><Relationship Id="rId11" Type="http://schemas.openxmlformats.org/officeDocument/2006/relationships/hyperlink" Target="garantF1://12074212.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455333.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hyperlink" Target="consultantplus://offline/ref=4D4C6D015C99FCC86500D5E0F230032E93E19E5FBF0F9DBE65C2BF6D0F900479FBB97E8561EB2D7346EF2DYCW6H" TargetMode="External"/><Relationship Id="rId9" Type="http://schemas.openxmlformats.org/officeDocument/2006/relationships/hyperlink" Target="garantF1://455333.0" TargetMode="External"/><Relationship Id="rId14" Type="http://schemas.openxmlformats.org/officeDocument/2006/relationships/hyperlink" Target="garantF1://10064072.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Сюзанна Джиоева</cp:lastModifiedBy>
  <cp:revision>31</cp:revision>
  <cp:lastPrinted>2019-04-22T06:40:00Z</cp:lastPrinted>
  <dcterms:created xsi:type="dcterms:W3CDTF">2018-11-01T09:16:00Z</dcterms:created>
  <dcterms:modified xsi:type="dcterms:W3CDTF">2019-04-22T07:20:00Z</dcterms:modified>
</cp:coreProperties>
</file>